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5" w:rsidRPr="00D2178C" w:rsidRDefault="00D2178C" w:rsidP="00CF1C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бухгалтерского учета</w:t>
      </w:r>
      <w:r w:rsidRPr="00D2178C">
        <w:rPr>
          <w:lang w:val="ru-RU"/>
        </w:rPr>
        <w:br/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F23819">
        <w:rPr>
          <w:rFonts w:hAnsi="Times New Roman" w:cs="Times New Roman"/>
          <w:color w:val="000000"/>
          <w:sz w:val="24"/>
          <w:szCs w:val="24"/>
          <w:lang w:val="ru-RU"/>
        </w:rPr>
        <w:t>ЛОГБУ «Вознесенский ДИ»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Инструкцией к Единому плану счетов № 157н «Об утверждении Единого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для органов государственной власти (государственных органов),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плану счетов № 157н);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174н «Об утверждении Плана счетов бухгалтерского учета бюджетных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F96565" w:rsidRPr="00D2178C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F96565" w:rsidRPr="00D2178C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61н);</w:t>
      </w:r>
    </w:p>
    <w:p w:rsidR="00F96565" w:rsidRPr="00D2178C" w:rsidRDefault="00D2178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приказом Минфина от 06.12.2010 №162н «Об утверждении плана счетов 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162н).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термины и сокращения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6"/>
        <w:gridCol w:w="7421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F96565" w:rsidRPr="00CF1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ГБУ «Центр социального обслуживания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"Альфа"»</w:t>
            </w:r>
          </w:p>
        </w:tc>
      </w:tr>
      <w:tr w:rsidR="00F96565" w:rsidRPr="00CF1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F96565" w:rsidRPr="00CF1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  <w:tr w:rsidR="00F96565" w:rsidRPr="00CF1C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Общие положения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бухгалтером. Сотрудники бухгалтерии руководствуются в работе положением о бухгалтерии,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должностными инструкциями.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ведение бухгалтерского учета в учреждении является главный бухгалтер.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 обособленных подразделениях учреждения, имеющих лицевые счета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территориальных органах Федерального казначейства, ведут бухгалтерии этих подразделений.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В учреждении действуют постоянные комиссии: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комиссия по поступлению и выбытию активов (приложение 1);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комиссия (приложение 2);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комиссия по проверке показаний одометров автотранспорта (приложение 3);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комиссия для проведения внезапной ревизии кассы (приложение 4).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 своем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путем размещения копий документов учетной политики.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положение, финансовые результаты деятельности учреждения и движение его денежных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основе своего профессионального суждения. Также на основе профессионального суждения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оценивается существенность ошибок отчетного периода, выявленных после утверждения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отчетности, в целях принятия решения о раскрытии в Пояснениях к отчетности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пункты 17, 20, 32 СГС «Учетная политика, оценочные значения и ошибки».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Технология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 xml:space="preserve"> обработки учетной информации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 продуктов «Бухгалтерия», «Зарплата».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 бухгалтерия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 осуществляет электронный документооборот по следующим направлениям:</w:t>
      </w:r>
    </w:p>
    <w:p w:rsidR="00F96565" w:rsidRPr="00D2178C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электронного документооборота с </w:t>
      </w:r>
      <w:r w:rsidR="00785175">
        <w:rPr>
          <w:rFonts w:hAnsi="Times New Roman" w:cs="Times New Roman"/>
          <w:color w:val="000000"/>
          <w:sz w:val="24"/>
          <w:szCs w:val="24"/>
          <w:lang w:val="ru-RU"/>
        </w:rPr>
        <w:t>комитетом Финансов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передачабухгалтерскойотчетностиучредителю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отчетности по налогам, сборам и иным обязательным платежам в 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Федеральнойналоговойслужбы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Фонда пенсионного и социального страхования;</w:t>
      </w:r>
    </w:p>
    <w:p w:rsidR="00F96565" w:rsidRPr="00D2178C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 деятельности учреждения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Default="00D2178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Обмен электронными первичными документами внутри учреждения осуществляется с использованием бухгалтерской программы «1С: Бухгалтерия». Сдача бухгалтерской (финансовой) отчетности — в «</w:t>
      </w:r>
      <w:r w:rsidR="00F23819">
        <w:rPr>
          <w:rFonts w:hAnsi="Times New Roman" w:cs="Times New Roman"/>
          <w:color w:val="000000"/>
          <w:sz w:val="24"/>
          <w:szCs w:val="24"/>
          <w:lang w:val="ru-RU"/>
        </w:rPr>
        <w:t>Свод Смарт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Обмен финансовыми и другими документами осуществляется в системе удаленного финансового документооборота </w:t>
      </w:r>
      <w:r w:rsidR="00F23819">
        <w:rPr>
          <w:rFonts w:hAnsi="Times New Roman" w:cs="Times New Roman"/>
          <w:color w:val="000000"/>
          <w:sz w:val="24"/>
          <w:szCs w:val="24"/>
          <w:lang w:val="ru-RU"/>
        </w:rPr>
        <w:t>АЦК Финансы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(добавление новых записей) в электронных базах данных не допускаются.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бухгалтерского учета и отчетности:</w:t>
      </w:r>
    </w:p>
    <w:p w:rsidR="00F96565" w:rsidRPr="00D2178C" w:rsidRDefault="00D217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сервере ежедневно производится сохранение резервных копий базы «Бухгалтерия», еженедельно – «Зарплата»;</w:t>
      </w:r>
    </w:p>
    <w:p w:rsidR="00F96565" w:rsidRPr="00D2178C" w:rsidRDefault="00D217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квартала и отчетного года после сдачи отчетности производится запись копии базы данных на внешний носитель –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флеш-карту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, которая хранится в сейфе главного бухгалтера;</w:t>
      </w:r>
    </w:p>
    <w:p w:rsidR="00F96565" w:rsidRPr="00D2178C" w:rsidRDefault="00D2178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виде, распечатываются на бумажный носитель и подшиваются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папки в хронологическом порядке.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19 Инструкции к Единому плану счетов № 157н, пункт 33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1.. Порядок и сроки передачи первичных учетных документов для отражения в бухгалтерском учете установлены в графике документооборота (приложение 21 к настоящей учетной политике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)..</w:t>
      </w:r>
      <w:proofErr w:type="gramEnd"/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 пункта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 типовые формы первичных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учреждение использует:</w:t>
      </w:r>
    </w:p>
    <w:p w:rsidR="00F96565" w:rsidRPr="00D2178C" w:rsidRDefault="00D217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 5;</w:t>
      </w:r>
    </w:p>
    <w:p w:rsidR="00F96565" w:rsidRPr="00D2178C" w:rsidRDefault="00D2178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подпункт «г» пункта 9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сотрудникам, занимающим должности, перечисленные в приложении 6. Пофамильный список сотрудников, имеющих право подписи, утверждается отдельным приказом руководителя.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 учету принимаются документы о приемке, универсальный передаточный документ или счет-фактура от контрагентов (поставщиков, исполнителей, подрядчиков), оформленные в электронном виде и подписанные ЭЦП в ЕИС «Закупки». Правом подписи указанных документов обладают сотрудники, перечень которых утверждается приказом руководителя.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 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 w:rsidR="00F96565" w:rsidRPr="00D2178C" w:rsidRDefault="00D217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о приеме-передаче объектов нефинансовых активов (ф. 0510448);</w:t>
      </w:r>
    </w:p>
    <w:p w:rsidR="00F96565" w:rsidRPr="00D2178C" w:rsidRDefault="00D217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Накладная на внутреннее перемещение объектов нефинансовых активов (ф. 0510450);</w:t>
      </w:r>
    </w:p>
    <w:p w:rsidR="00F96565" w:rsidRDefault="00D217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Требование-накладная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0510451);</w:t>
      </w:r>
    </w:p>
    <w:p w:rsidR="00F96565" w:rsidRPr="00D2178C" w:rsidRDefault="00D217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приемки товаров, работ, услуг (ф. 0510452);</w:t>
      </w:r>
    </w:p>
    <w:p w:rsidR="00F96565" w:rsidRPr="00D2178C" w:rsidRDefault="00D217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Заявка-обоснование закупки товаров, работ, услуг малого объема через подотчетное лицо (ф. 0510521);</w:t>
      </w:r>
    </w:p>
    <w:p w:rsidR="00F96565" w:rsidRPr="00D2178C" w:rsidRDefault="00D217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Карточка учета капитальных вложений (ф. 0509211);</w:t>
      </w:r>
    </w:p>
    <w:p w:rsidR="00F96565" w:rsidRPr="00D2178C" w:rsidRDefault="00D2178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Карточка учета права пользования нефинансовым активом (ф. 0509214).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 формы применяются вне централизуемых полномочий — при самостоятельном оформлении учреждением и регистрации фактов хозяйственной жизни.</w:t>
      </w:r>
    </w:p>
    <w:p w:rsidR="00FC2F53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6. Учреждениеприменяет путевой лист в 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>на бумажном носителе.</w:t>
      </w:r>
      <w:r w:rsidRPr="00D2178C">
        <w:rPr>
          <w:lang w:val="ru-RU"/>
        </w:rPr>
        <w:br/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 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 При поступлении документов на иностранном языке построчный перевод таких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 отдельном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документе, заверяются подписью сотрудника, составившего перевод, и прикладываются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случае невозможности перевода документа привлекается профессиональный переводчик.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 денежных (финансовых) документов заверяется нотариусом.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языке составлены по типовой форме (идентичны по количеству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граф, их названию, расшифровке работ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д. и отличаются только суммой), то в отношении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постоянных показателей достаточно однократного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русский язык. Впоследствии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нужно только изменяющиеся показатели данного первичного документа.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 Учреждение использует унифицированные формы регистров бухучета, перечисленные в приложении 3 к приказу № 52н и приложении 3 к приказу № 61н. При необходимости формы регистров, которые не унифицированы, разрабатываются самостоятельно.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 157н, подпункт «г» пункта 9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электронных регистров бухучета осуществляется в следующем порядке: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 учетные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документы по датам совершения операций, дате принятия к учету первичного документа;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операций (ф. 0509213) по всем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 случае, если в отчетном месяце были обороты по счету;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 в последний рабочий день месяца;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 учету,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мере внесения изменений (данных о переоценке, модернизации, реконструкции,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пр.) и при выбытии. При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ежегодно,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года, со сведениями о начисленной амортизации;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F96565" w:rsidRPr="00D2178C" w:rsidRDefault="00D2178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установлено законодательством РФ.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167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Методические указания, утвержденные приказом Минфина от 30.03.2015 № 52н.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составляются отдельно.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 Журнал операций расчетов по оплате труда, денежному довольствию и стипендиям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0504071) ведется раздельно по кодам финансового обеспечения деятельности и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счетам:</w:t>
      </w:r>
    </w:p>
    <w:p w:rsidR="00F96565" w:rsidRPr="00D2178C" w:rsidRDefault="00D217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 начислениям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выплаты по оплате труда»;</w:t>
      </w:r>
    </w:p>
    <w:p w:rsidR="00F96565" w:rsidRPr="00D2178C" w:rsidRDefault="00D217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 Х.302.14.000 «Расчеты по прочим несоциальным выплатам персоналу в натуральной форме»;</w:t>
      </w:r>
    </w:p>
    <w:p w:rsidR="00F96565" w:rsidRPr="00D2178C" w:rsidRDefault="00D217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 социальным пособиям и компенсациям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Х.302.67.000 «Расчеты по социальным компенсациям персоналу в натуральной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форме»;</w:t>
      </w:r>
    </w:p>
    <w:p w:rsidR="00F96565" w:rsidRPr="00D2178C" w:rsidRDefault="00D2178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 лицам».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 Журналам операций присваиваются номера согласно приложению 11. По операциям, указанным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подписываются главным бухгалтером и бухгалтером, составившим 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операций.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(ф. 0504071) ведутся раздельно по кодам финансового обеспечения. Журналы формируются ежемесячно в последний день месяца. К журналам прилагаются первичные учетные документы согласно приложению 18.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12. Первичные и сводные учетные документы, бухгалтерские регистры составляются в 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электронного документа, подписанного квалифицированной электронной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подписью.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отсутствии возможности составить документ, регистр в электронном виде, он может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составлен на бумажном носителе и заверен собственноручной подписью.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13.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заверении многостраничного документа заверяется копия каждого листа.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№ 157н, пункт 32 СГС «Концептуальные основы бухучета и отчетности», Методические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указания, утвержденные приказом Минфина от 30.03.2015 № 52н, статья 2 Закона от 06.04.2011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63-ФЗ.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 w:rsidR="00785175">
        <w:rPr>
          <w:rFonts w:hAnsi="Times New Roman" w:cs="Times New Roman"/>
          <w:color w:val="000000"/>
          <w:sz w:val="24"/>
          <w:szCs w:val="24"/>
          <w:lang w:val="ru-RU"/>
        </w:rPr>
        <w:t>ЛОГБУ «Вознесенский ДИ»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 В деятельности учреждения используются следующие бланки строгой отчетности:</w:t>
      </w:r>
    </w:p>
    <w:p w:rsidR="00F96565" w:rsidRDefault="00D217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бланки трудовых книжек и вкладышей к ним;</w:t>
      </w:r>
    </w:p>
    <w:p w:rsidR="00785175" w:rsidRPr="00D2178C" w:rsidRDefault="0078517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 бланков ведется по стоимости их приобретения.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16. Перечень должностей сотрудников, ответственных за учет, хранение и выдачу бланков строгой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отчетности, приведен в приложении 9.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 Особенности применения первичных документов: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17.1. При ремонте нового оборудования, неисправность которого была выявлена при монтаже,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составляется Акт о выявленных дефектах оборудования по форме № ОС-16 (ф. 0306008).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17.2. На списание призов, подарков, сувениров оформляется Акт о списании материальных запасов (ф. 0504230), к которому должен быть приложен экземпляр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приказа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награждении с указанием перечня награждаемых лиц. Если награждение прошло в ходе проведения массового мероприятия, к Акту (ф. 0504230) должны быть приложены экземпляр приказа руководителя о проведении мероприятия и протокол о мероприятии с указанием перечня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награжденных лиц.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17.3. При поступлении имущества и наличных денег от жертвователя или дарителя составляется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в произвольной форме, в котором:</w:t>
      </w:r>
    </w:p>
    <w:p w:rsidR="00F96565" w:rsidRPr="00D2178C" w:rsidRDefault="00D217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пунктом 25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отчетности»;</w:t>
      </w:r>
    </w:p>
    <w:p w:rsidR="00F96565" w:rsidRPr="00D2178C" w:rsidRDefault="00D2178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имущество и наличные деньги поступают без оформления письменного договора, передающая сторона:</w:t>
      </w:r>
    </w:p>
    <w:p w:rsidR="00F96565" w:rsidRPr="00D2178C" w:rsidRDefault="00D217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F96565" w:rsidRPr="00D2178C" w:rsidRDefault="00D2178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 или имущество.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17.4. Аналитический учет расчетов по пенсиям, пособиям и иным социальным выплатам,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подопечные получают через учреждение, ведется в Карточке учета средств и расчетов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0504051) в разрезе каждого получателя.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17.5.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графах 20 и 37 отражаются итоговые данные неявок.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6"/>
        <w:gridCol w:w="661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выходные дни (оплачиваемые)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под стражу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 пути к месту вахты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Нерабочий оплачиваемый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 вакцинацию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 связи с 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Расширено применение буквенного кода «Г» – Выполнение государственных обязанностей –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случаев выполнения сотрудниками общественных обязанностей (например, для регистрации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медицинского освидетельствования перед сдачей крови, дней сдачи крови, дней, когда сотрудник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отсутствовал по вызову в военкомат на военные сборы, по вызову в суд и другие госорганы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качестве свидетеля и пр.).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17.6.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Расчеты по заработной плате и другим выплатам оформляются в Расчетной ведомости (ф. 0504402) и Платежной ведомости (ф. 0504403).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17.7.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скан-копий.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скан-копией подписанного документа.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После окончания режима удаленной работы первичные документы, оформленные посредством обмена скан-копий, распечатываются на бумажном носителе и подписываются собственноручной подписью ответственных лиц.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18. Сотрудник, ответственный за оформление расчетных листков, высылает каждому сотруднику на его корпоративную электронную почту расчетный листок в день выдачи зарплаты за вторую половину месяца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вручает ему лично на бумажном носителе.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IV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План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 xml:space="preserve"> счетов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 использованием Рабочего плана счетов (приложение 10),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 подпункт «б» пункта 9 СГС «Учетная политика,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отражении в бухучете хозяйственных операций 1–18-е разряды номера счета Рабочего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формируются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26"/>
        <w:gridCol w:w="6851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D217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F96565" w:rsidRPr="00CF1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1002 «Социальное обслуживание населения»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F96565" w:rsidRPr="00D2178C" w:rsidRDefault="00D2178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F96565" w:rsidRPr="00D2178C" w:rsidRDefault="00D2178C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F96565" w:rsidRDefault="00D217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F96565" w:rsidRPr="00CF1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F96565" w:rsidRPr="00D2178C" w:rsidRDefault="00D2178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F96565" w:rsidRDefault="00D2178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кодувидарасходов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65" w:rsidRPr="00D2178C" w:rsidRDefault="00D2178C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F96565" w:rsidRPr="00CF1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F96565" w:rsidRPr="00D2178C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 учреждения);</w:t>
            </w:r>
          </w:p>
          <w:p w:rsidR="00F96565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средствавовременномраспоряжении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65" w:rsidRPr="00D2178C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F96565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субсидиинаиныецели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65" w:rsidRPr="00D2178C" w:rsidRDefault="00D2178C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– субсидии на цели осуществления капитальных вложения</w:t>
            </w:r>
          </w:p>
        </w:tc>
      </w:tr>
      <w:tr w:rsidR="00F96565" w:rsidRPr="00CF1C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21–21.2 Инструкции к Единому плану счетов № 157н, пункт 2.1 Инструкции № 174н.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 Рабочем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(приложение 10).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157н, пункт 19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 денежной 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ведет бюджетный учет по рабочему Плану счетов в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Методика ведения бухгалтерского учета, оценки отдельных видов имущества и обязательств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1.1. Бухучет ведется по первичным документам, которые проверены сотрудниками бухгалтерии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положением о внутреннем финансовом контроле (приложение 11).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комиссия учреждения по поступлению и выбытию активов.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 установлен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 оценки в законодательстве и в настоящей учетной политике, то величина оценочного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показателя определяется профессиональным суждением главного бухгалтера.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1.4.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 о приеме-передаче объектов нефинансовых активов (ф. 0504101), Приходный ордер на приемку материальных ценностей (нефинансовых активов) (ф. 0504207) в этом случае не требуется.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бесконтактные термометры, диспенсеры для антисептиков, штампы, печати и инвентарь. Перечень объектов, которые относятся к группе «Инвентарь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 и хозяйственный», приведен в приложении 12.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полезного и ожидаемого использования:</w:t>
      </w:r>
    </w:p>
    <w:p w:rsidR="00F96565" w:rsidRDefault="00D2178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объектыбиблиотечногофонда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кровати, тумбочки и т. д.;</w:t>
      </w:r>
    </w:p>
    <w:p w:rsidR="00F96565" w:rsidRPr="00D2178C" w:rsidRDefault="00D2178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 системные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блоки, мониторы, компьютерные мыши, клавиатуры, принтеры, сканеры, колонки,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акустические системы, микрофоны, веб-камеры, устройства захвата видео, внешние ТВ-тюнеры, внешние накопители на жестких дисках;</w:t>
      </w:r>
    </w:p>
    <w:p w:rsidR="00F96565" w:rsidRDefault="00D2178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 десяти знаков и присваивается в порядке:</w:t>
      </w:r>
    </w:p>
    <w:p w:rsidR="00F96565" w:rsidRPr="00D2178C" w:rsidRDefault="00D2178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 (при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отнесении инвентарного объекта к 10-й амортизационной группе в данном разряде проставляется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«0»);</w:t>
      </w:r>
    </w:p>
    <w:p w:rsidR="00F96565" w:rsidRPr="00D2178C" w:rsidRDefault="00D2178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бухгалтерского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(приложение 1 к приказу Минфина от 16.10.2010 № 174н);</w:t>
      </w:r>
    </w:p>
    <w:p w:rsidR="00F96565" w:rsidRPr="00D2178C" w:rsidRDefault="00D2178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бухгалтерского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(приложение 1 к приказу Минфина от 16.10.2010 № 174н);</w:t>
      </w:r>
    </w:p>
    <w:p w:rsidR="00F96565" w:rsidRPr="00D2178C" w:rsidRDefault="00D2178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2.4 Присвоенный объекту инвентарный номер наносится:</w:t>
      </w:r>
    </w:p>
    <w:p w:rsidR="00F96565" w:rsidRPr="00D2178C" w:rsidRDefault="00D2178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объекты недвижимого имущества, строения и сооружения – несмываемой краской;</w:t>
      </w:r>
    </w:p>
    <w:p w:rsidR="00F96565" w:rsidRPr="00D2178C" w:rsidRDefault="00D2178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остальные основные средства – путем прикрепления водостойкой инвентаризационной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наклейки с номером.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 предметов),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инвентарный номер обозначается на каждом составляющем элементе тем же способом, что 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Данноеправилоприменяется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основных средств:</w:t>
      </w:r>
    </w:p>
    <w:p w:rsidR="00F96565" w:rsidRDefault="00D2178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F96565" w:rsidRDefault="00D2178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F96565" w:rsidRDefault="00D2178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F96565" w:rsidRDefault="00D2178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многолетние насаждения;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таких частей определяется пропорционально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F96565" w:rsidRDefault="00D2178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F96565" w:rsidRDefault="00D2178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F96565" w:rsidRDefault="00D2178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F96565" w:rsidRPr="00D2178C" w:rsidRDefault="00D2178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 активов.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Данноеправилоприменяется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основных средств:</w:t>
      </w:r>
    </w:p>
    <w:p w:rsidR="00F96565" w:rsidRDefault="00D2178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F96565" w:rsidRDefault="00D2178C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F96565" w:rsidRPr="00D2178C" w:rsidRDefault="00D2178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средства группы «Транспортные средства», а также на компьютерное оборудование и сотовые телефоны;</w:t>
      </w:r>
    </w:p>
    <w:p w:rsidR="00F96565" w:rsidRPr="00D2178C" w:rsidRDefault="00D2178C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основных средств.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2.9. В случаях, когда установлены одинаковые сроки полезного использования и метод расчета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амортизации всех структурных частей единого объекта основных средств,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учреждение объединяет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такие части для определения суммы амортизации.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 переоценки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 пропорционально изменению первоначальной стоимости объекта таким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образом, чтобы его остаточная стоимость после переоценки равнялась его переоцененной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стоимости. При этом балансовая стоимость и накопленная амортизация увеличиваются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в соответствии с пунктом 35 СГС «Основные средства». Состав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 установлен в приложении 1 настоящей учетной политики.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2.12. Имущество, относящееся к категории особо ценного имущества (ОЦИ), определяет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 (приложение 1). Такое имущество принимается к 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основании выписки из протокола комиссии.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2.13.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 эксплуатации,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балансовой стоимости.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 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 373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2.14. При приобретении и (или) создании основных средств за 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Х.106.00.000,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переводится на код вида деятельности 4 «Субсидии на выполнение 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(муниципального) задания».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2.15.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который ранее приобретен (создан) учреждением за счет средств от приносящей доход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деятельности, стоимость этого объекта переводится с кода вида деятельности «2» на код вида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деятельности «4». Одновременно переводится сумма начисленной амортизации.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 охранно-пожарная сигнализация (ОПС)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отдельные инвентарные объекты не учитывается. Отдельные элементы ЛВС и ОПС,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соответствуют критериям основных средств, установленным СГС «Основные средства»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учитываются как отдельные основные средства. Элементы ЛВС или ОПС для которых установлен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одинаковый срок полезного использования, учитываются как единый инвентарный объект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установленном в пункте 2.2 раздела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2.17. Расходы на 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 стоимости, указанной в договоре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поставки.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2.18. Передача в пользование объектов, которые содержатся за счет учреждения, отражается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внутреннее перемещение. Учет таких объектов ведется на дополнительном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43П «Имущество, переданное в пользование, – не объект аренды».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2.19. Ответственными за хранение технической документации на объекты основных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являются ответственные лица, за которыми закреплены объекты. Если на основное средство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производитель (поставщик) предусмотрел гарантийный срок, ответственное лицо хранит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гарантийные талоны.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2.20. Объекты библиотечного фонда стоимостью до 100 000 руб. учитываются в регистрах бухучета в денежном выражении общей суммой без количественного учета в разрезе кодов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финансового обеспечения:</w:t>
      </w:r>
    </w:p>
    <w:p w:rsidR="00F96565" w:rsidRPr="00D2178C" w:rsidRDefault="00D2178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:rsidR="00F96565" w:rsidRPr="00D2178C" w:rsidRDefault="00D2178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 – субсидия на выполнение государственного задания;</w:t>
      </w:r>
    </w:p>
    <w:p w:rsidR="00F96565" w:rsidRDefault="00D2178C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субсидиинаиныецели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 ведется в Инвентарной карточке группового учета основных средств (ф. 0504032). На каждый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объект библиотечного фонда стоимостью свыше 100 000 руб. открывается отдельная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(ф. 0504031).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объектов библиотечного фонда в регистрах индивидуального и суммового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учета ведется сотрудниками библиотеки в соответствии с Порядком, утвержденным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Минкультуры от 08.10.2012 № 1077.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F96565" w:rsidRPr="00D2178C" w:rsidRDefault="00D2178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нематериальные активы группы «Научные исследования (научно-исследовательские разработки)»;</w:t>
      </w:r>
    </w:p>
    <w:p w:rsidR="00F96565" w:rsidRPr="00D2178C" w:rsidRDefault="00D2178C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нематериальных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10 %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3.4. Учреждение 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44 СГС «Нематериальные активы».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 СГС «Непроизведенные активы»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4.2. 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 СГС «Непроизведенные активы»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пятнадцати знаков, определяемый последовательно по мере принятия к учету непроизведенных активов – Х.Х.ХХХХХХ.ХХХХ, где:</w:t>
      </w:r>
    </w:p>
    <w:p w:rsidR="00F96565" w:rsidRPr="00D2178C" w:rsidRDefault="00D2178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 разряд – код синтетической группы инвентарного объекта непроизведенных активов по счету 103 «Непроизведенные активы» – «3»;</w:t>
      </w:r>
    </w:p>
    <w:p w:rsidR="00F96565" w:rsidRPr="00D2178C" w:rsidRDefault="00D2178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 разряд – код вида инвентарного номера «1» – индивидуальный инвентарный объект;</w:t>
      </w:r>
    </w:p>
    <w:p w:rsidR="00F96565" w:rsidRPr="00D2178C" w:rsidRDefault="00D2178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3–8 разряды – порядковый номер инвентарного объекта (000001, 000002 и т.д.);</w:t>
      </w:r>
    </w:p>
    <w:p w:rsidR="00F96565" w:rsidRDefault="00D2178C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9–12 разряды – внутренний групповой инвентарный номер (0001, 0002 и т.д.).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Дляиндивидуальногоинвентарногообъекта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0000.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81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4.4. Аналитический учет вложений в непроизведенные активы ведется в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многографной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карточке (ф. 0504054).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128 Инструкции к Единому плану счетов № 157н.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5.1. Учреждение учитывает в составе материальных запасов материальные объекты,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пунктах 98–99 Инструкции к Единому плану счетов № 157н, а также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перечень которого приведен в приложении 12.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5.2. В составе прочих материальных запасов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Х.105.36.000 учитываются, в том числе:</w:t>
      </w:r>
    </w:p>
    <w:p w:rsidR="00F96565" w:rsidRPr="00D2178C" w:rsidRDefault="00D2178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продукты питания и предметы первой необходимости, приобретенные для больных туберкулезом и предназначенные для выдачи им в виде наборов в качестве мер социальной поддержки в рамках борьбы с туберкулезом;</w:t>
      </w:r>
    </w:p>
    <w:p w:rsidR="00F96565" w:rsidRPr="00D2178C" w:rsidRDefault="00D2178C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оборудование, приобретенное для реабилитации и адаптации инвалидов и предназначенное для выдачи им в порядке очередности.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5.3. По фактической стоимости каждой единицы списываются следующие материальные запасы: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специальные инструменты и специальные приспособления;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оборудование, приобретенное для реабилитации и адаптации инвалидов;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драгоценные и другие металлы для протезирования;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оборудование, требующее монтажа и предназначенное для установки;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запчасти и другие материалы, предназначенные для изготовления других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и основных средств;</w:t>
      </w:r>
    </w:p>
    <w:p w:rsidR="00F96565" w:rsidRDefault="00D2178C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Остальные материальные запасы списываются по средней фактической стоимости.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5.4. Предметы мягкого инвентаря маркирует кладовщик в присутствии одного из членов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нефинансовых активов. Маркировочные штампы хранятся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заместителя руководителя по административно-хозяйственной части. Срок маркировки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не позднее дня, следующего за днем поступления мягкого инвентаря на склад.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5.5. Мягкий инвентарь, поступивший в учреждение в комплектах, разукомплектовывается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учитывается поштучно, что оформляется самостоятельно разработанным актом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5.6. Ответственное лицо ведет предметно-количественный учет медикаментов и перевязочных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средств. В регистрах бухгалтерского учета учет медикаментов и перевязочных средств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суммовом (денежном) выражении.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Единица учета материальных запасов в учреждении – номенклатурная (реестровая) единица.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Исключения: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а) 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партия.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единицы учета «партия» принимает</w:t>
      </w:r>
      <w:r w:rsidRPr="00D2178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группы материальных запасов, характеристики которых совпадают, а также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запасы:</w:t>
      </w:r>
      <w:r w:rsidRPr="00D2178C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7"/>
        <w:gridCol w:w="2384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Подгруппа «Одежда и обувь»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Халат поварской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Колпак поварской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Подгруппа «Постельные принадлежности»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Подушка пуховая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Подушка синтетическая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Простынь односпальная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Пододеяльник односпальный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Подгруппа «Прочие материальные запасы»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Ветошь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Единица учета таких материальных запасов – однородная (реестровая) группа запасов.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единицы учета «однородная (реестровая) группа запасов» в отношении материальных запасов, характеристики которых совпадают,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в первичных документах поставщика единицы измерения отличаются от тех, которые использует учреждение, ответственный сотрудник оформляет акт перевода единиц измерения. Акт прикладывают к первичным документам поставщика.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5.8. В целях аналитического (управленческого) учета незавершенное производство отражается на дополнительном счете Рабочего плана счетов 0.109.69.000 «Себестоимость незавершенного производства готовой продукции, работ, услуг».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5.9. Товары, переданные в реализацию, отражаются по цене реализации с обособлением торговой наценки.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5.10.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 следующих факторов:</w:t>
      </w:r>
    </w:p>
    <w:p w:rsidR="00F96565" w:rsidRPr="00D2178C" w:rsidRDefault="00D2178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 рассчитанной методом рыночных цен;</w:t>
      </w:r>
    </w:p>
    <w:p w:rsidR="00F96565" w:rsidRPr="00D2178C" w:rsidRDefault="00D2178C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5.11.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18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5.12.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5.13. Учреждение применяет следующий порядок подстатей КОСГУ в части учета материальных запасов: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5.13.1.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 Маски и перчатки, приобретенные для комплектов одежды, учитываются на счете 105.05 и по КОСГУ 345.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5.13.2. Специальные жидкости для автомобиля (тормозная,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, тосол и другие охлаждающие) учитываются на счете 105.03 и по КОСГУ 343.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5.14.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5.15. Учет материальных ценностей на хранении ведется обособленно по видам имущества с применением дополнительных кодов к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забалансовому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счету 02 «Материальные ценности на хранении» (приложение 6).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Раздельныйучетобеспечивается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разрезе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6565" w:rsidRPr="00D2178C" w:rsidRDefault="00D2178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имущества, принятого на временное хранение от подопечных, –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02.1;</w:t>
      </w:r>
    </w:p>
    <w:p w:rsidR="00F96565" w:rsidRPr="00D2178C" w:rsidRDefault="00D2178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имущества, которое учреждение решило списать, и которое числится за балансом до момента его демонтажа, утилизации, уничтожения, –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02.2;</w:t>
      </w:r>
    </w:p>
    <w:p w:rsidR="00F96565" w:rsidRPr="00D2178C" w:rsidRDefault="00D2178C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другого имущества на хранении –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02.3.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 157н, пункт 19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5.16. Материальные запасы (мягкий инвентарь) изготавливаемые для нужд учреждения и принимаются к учету по фактической стоимости на основании Требования-накладной (ф. 0504204).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 Установлены следующие особенности учета материальных запасов: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5.17.1. Особенности учета транспортно-заготовительных расходов.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фактическую стоимость материальных запасов включаются транспортно-заготовительные расходы (ТЗР), в том числе:</w:t>
      </w:r>
    </w:p>
    <w:p w:rsidR="00F96565" w:rsidRPr="00D2178C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погрузочно-разгрузочными работами;</w:t>
      </w:r>
    </w:p>
    <w:p w:rsidR="00F96565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расходынатранспортировку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расходы, связанные с заготовкой и доставкой материальных запасов;</w:t>
      </w:r>
    </w:p>
    <w:p w:rsidR="00F96565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страхованиедоставки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недостача и порча в пределах норм естественной убыли;</w:t>
      </w:r>
    </w:p>
    <w:p w:rsidR="00F96565" w:rsidRPr="00D2178C" w:rsidRDefault="00D2178C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наценки, надбавки, комиссионные вознаграждения посредникам.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доставке разнородных материальных запасов одним транспортным средством ТЗР распределяются пропорционально количеству материальных запасов, их весу или объему в зависимости от ассортимента полученных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в одну поставку включено несколько разнородных групп материальных запасов, то сначала ТЗР распределяются между этими группами.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5.17.2. Особенности приобретения и учета горюче-смазочных материалов (ГСМ).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 топливным картам. Исключение составляют выезды в командировку на автомобиле учреждения, когда по пути следования отсутствуют АЗС с оплатой по топливным картам.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Нормы на расходы горюче-смазочных материалов (ГСМ)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на автотранспорт и дизель-генераторную станцию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разрабатываются 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>учреждением самостоятельно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 расходы по фактическому расходу на основании путевых листов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расчета потребления топлива дизель-генераторной станции,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но не выше норм, установленных приказом руководителя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5.17.3. Особенности использования и учета мягкого инвентаря.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Для учета мягкого инвентаря применяется книга учета материальных ценностей (ф. 0504042), которую ведут материально ответственные лица. Учитывается мягкий инвентарь по наименованиям, сортам и количеству — для каждого наименования объекта учета используется отдельная страница. Бухгалтерия учреждения систематически контролирует поступление и расходование мягкого инвентаря, находящегося на складе и в местах хранения, а также сверяет данные учета инвентаря с записями, которые ведутся на складе. Результаты таких проверок фиксируются соответствующими записями на отдельной странице в конце книги учета материальных ценностей.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Все предметы мягкого инвентаря при поступлении на склад маркируются. Маркировка проводится штампом несмываемой краской без порчи внешнего вида предмета. На штампе указывается наименование учреждения. Маркировку производит сотрудник склада в присутствии заместителя директора по административно-хозяйственной работе и бухгалтера по учету нефинансовых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выдаче мягкого инвентаря в эксплуатацию проводится дополнительная маркировку с указанием года и месяца выдачи со склада.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Маркировочные штампы хранит руководитель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Мягкий инвентарь выдается в эксплуатацию по ведомости выдачи материальных ценностей на нужды учреждения (ф. 0504210).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административно-хозяйственной работе организует надлежащий уход, хранение, своевременную химическую чистку, стирку, дезинфекцию, обезвреживание, сушку, а также ремонт и замену предметов мягкого инвентаря.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Операции по перемещению мягкого инвентаря между материально ответственными лицами отражаются путем изменения материально ответственного лица в карточке количественно-суммового учета материальных ценностей (ф. 0504041).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 изношенности по решению комиссии по поступлению и выбытию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присутствии комиссии списанный мягкий инвентарь уничтожается или превращается в ветошь (разрезается, рвется и т. д.). Пригодная для использования в хозяйственных целях ветошь принимается на склад с указанием веса, затем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используется для уборки помещений.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Ветошь принимается к учету на основании Требования-накладной (ф. 0504204) по справедливой стоимости, определенной комиссией по поступлению и выбытию активов методом рыночных цен.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5.17.4. Особенности использования и учета хозяйственного инвентаря.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правил, установленных пунктом 2.1 раздела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 При этом, независимо от срока полезного использования, учитываются как материальные запасы: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— швабры, грабли, метлы, веники;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— инструменты: слесарно-монтажный, столярно-плотницкий, строительный;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— канцтовары, за исключением калькуляторов.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Выдача хозяйственного инвентаря (материалов) на нужды учреждения производится исходя из месячной потребности в нем. Нормы потребности в хозяйственных материалах определяет комиссия учреждения по поступлению и выбытию активов ежегодно на основании сложившихся фактических данных за прошлый год и утверждает отдельным приказом руководителя.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5.17.5. Особенности учета карт </w:t>
      </w:r>
      <w:proofErr w:type="spellStart"/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тахографа</w:t>
      </w:r>
      <w:proofErr w:type="spellEnd"/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Карты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признаются активом учреждения, поскольку учреждение не вправе без согласия водителя изъять карту при его увольнении, уничтожить ее или аннулировать. В целях управленческого учета и контроля за сохранностью карты учитываются на дополнительном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50К «Карты водителей для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5.17.6. Учет запчастей за балансом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 — четыре единицы на один легковой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 четыре единицы на один легковой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аккумуляторы — одна единица на один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— одна единица на один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аптечки — одна единица на один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огнетушители— одна единица на один автомобиль;</w:t>
      </w:r>
    </w:p>
    <w:p w:rsidR="00F96565" w:rsidRDefault="00D2178C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 акте о сезонной замене шин в автомобиле, форма которого разработана учреждением самостоятельно.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Аналитический учет по счету ведется в разрезе автомобилей и ответственных лиц.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Поступлениенасчет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6565" w:rsidRPr="00D2178C" w:rsidRDefault="00D2178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 счета 0.105.36.000 «Прочие материальные запасы — иное движимое имущество учреждения»;</w:t>
      </w:r>
    </w:p>
    <w:p w:rsidR="00F96565" w:rsidRPr="00D2178C" w:rsidRDefault="00D2178C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F96565" w:rsidRPr="00D2178C" w:rsidRDefault="00D2178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F96565" w:rsidRPr="00D2178C" w:rsidRDefault="00D2178C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Выбытиесосчета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6565" w:rsidRPr="00D2178C" w:rsidRDefault="00D2178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F96565" w:rsidRPr="00D2178C" w:rsidRDefault="00D2178C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 157н.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5.18. Особенности списания материальных запасов: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5.18.1. Списание материальных запасов производится по средней фактической стоимости.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5.18.2. Выдача в эксплуатацию на нужды учреждения канцелярских принадлежностей, лекарственных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препаратов, запасных частей и хозяйственных материалов оформляется Ведомостью выдачи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 на нужды учреждения (ф. 0504210). Эта ведомость является основанием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для списания материальных запасов.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Мягкий и хозяйственный инвентарь, посуда списываются по Акту о списании мягкого и хозяйственного инвентаря (ф. 0504143).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Продукты питания, выданные в столовую, списываются на основании Меню-требования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выдачу продуктов питания (ф. 0504202).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5.18.3. Остальные материальные запасы, выданные ответственным лицам, списываются по решению комиссии по поступлению и выбытию активов на основании:</w:t>
      </w:r>
    </w:p>
    <w:p w:rsidR="00F96565" w:rsidRDefault="00D2178C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путевыхлистов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0340002, 0345001, 0345002, 0345004, 0345005, 0345007);</w:t>
      </w:r>
    </w:p>
    <w:p w:rsidR="00F96565" w:rsidRPr="00D2178C" w:rsidRDefault="00D2178C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материальных запасов (ф. 0504230);</w:t>
      </w:r>
    </w:p>
    <w:p w:rsidR="00F96565" w:rsidRPr="00D2178C" w:rsidRDefault="00D2178C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мягкого и хозяйственного инвентаря (ф. 0504143).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5.18.4. Выдача материалов, на которые установлен лимит (нормы) расхода, производится на основании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лимитно-заборных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 (по ф. М-8, утв. постановлением Госкомстата России от 30.10.1997 № 71а). Разноска из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лимитно-заборных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 в книги данных об отпуске материальных запасов может производиться по мере закрытия карт, но не позднее последнего числа месяца.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Прием-сдача первичных учетных документов оформляется составлением реестра, в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котором бухгалтер по учету нефинансовых активов расписывается в получении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Сдача складом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лимитно-заборных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 производится после использования лимита. В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начале месяца должны быть сданы все карты за прошлый месяц, независимо от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использования лимита.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лимитно-заборная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карта была выдана на квартал, она сдается в начале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следующего квартала, а в начале второго и третьего месяцев текущего квартала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сдаются месячные талоны от квартальных карт, если талоны оформлялись.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До сдачи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лимитно-заборных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 их данные выверяются с экземплярами карт того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подразделения, которому были выданы материальные запасы. Выверка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подтверждается подписями заведующего складом (кладовщика) и ответственного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сотрудника подразделения учреждения, получавшего материальные запасы.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5.18.5. При перевозке материальных запасов к покупателю автотранспортом, собственным или привлеченным, учреждение дополнительно оформляет товарно-транспортную накладную, форма которой утверждена в приложении к ученой политике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5.18.6. Материальные запасы, которые предназначены для дарения, вручения на мероприятиях, списываются с учета при выдаче со склада на основании Ведомости выдачи материальных ценностей на нужды учреждения (ф. 0504210). После выдачи со склада запасы учитываются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 «Награды, призы, кубки и ценные подарки, сувениры».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 акте, форма которого утверждена в приложении к учетной политике учреждения.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 о справедливой стоимости безвозмездно полученных нефинансовых активов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подтверждаться:</w:t>
      </w:r>
    </w:p>
    <w:p w:rsidR="00F96565" w:rsidRPr="00D2178C" w:rsidRDefault="00D2178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F96565" w:rsidRDefault="00D2178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F96565" w:rsidRPr="00D2178C" w:rsidRDefault="00D2178C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путем.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Затраты на изготовление готовой продукции, выполнение работ, оказание услуг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7.1. Учет расходов по формированию себестоимости ведется раздельно по группам видов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(работ, готовой продукции):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А) в рамках выполнения государственного задания:</w:t>
      </w:r>
    </w:p>
    <w:p w:rsidR="00F96565" w:rsidRPr="00D2178C" w:rsidRDefault="00D2178C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«Предоставление социального обслуживания в стационарной форме» –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4.109.61.000;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7.2. Затраты на оказание услуг (работ, готовой продукции) делятся на прямые и накладные.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 составе прямых затрат при формировании себестоимости оказания услуги, учитываются расходы, непосредственно связанные с ее оказанием.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 учреждения, непосредственно участвующих в оказании услуги (работы);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 оказание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(работы), естественная убыль;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10 000 руб. включительно, которые используются при оказании услуги (изготовлении продукции);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(работы);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 (работы);</w:t>
      </w:r>
    </w:p>
    <w:p w:rsidR="00F96565" w:rsidRDefault="00D2178C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составе накладных расходов при формировании себестоимости услуг (работ, готовой продукции) учитываются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расходы: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 учреждения, участвующих в оказании нескольких видов услуг (работ, готовой продукции);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материальные запасы, израсходованные на нужды учреждения, естественная убыль;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 в случае их использования для изготовления нескольких видов услуг (работ, готовой продукции);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 услуг (работ, готовой продукции);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ремонтом, техническим обслуживанием нефинансовых активов;</w:t>
      </w:r>
    </w:p>
    <w:p w:rsidR="00F96565" w:rsidRDefault="00D2178C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7.3. В составе общехозяйственных расходов учитываются расходы, распределяемые между всеми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видами услуг (работ, готовой продукции):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труда и начисления на выплаты по оплате труда сотрудников учреждения, не принимающих непосредственного участия в оказании услуги (работы): административно-управленческого, административно-хозяйственного и прочего обслуживающего персонала;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общехозяйственные нужды учреждения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качестве естественной убыли, пришедшие в негодность) на цели, не связанные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напрямую с оказанием услуг (работ);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 на цели, не связанные напрямую с оказанием услуг (работ);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 связанных напрямую с оказанием услуг (работ);</w:t>
      </w:r>
    </w:p>
    <w:p w:rsidR="00F96565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 услуги связи;</w:t>
      </w:r>
    </w:p>
    <w:p w:rsidR="00F96565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 транспортные услуги;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содержание транспорта, зданий, сооружений и инвентаря общехозяйственного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назначения;</w:t>
      </w:r>
    </w:p>
    <w:p w:rsidR="00F96565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расходынаохрануучреждения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прочие работы и услуги на общехозяйственные нужды.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7.4. Расходами, которые не включаются в себестоимость (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 сразу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списываются на финансовый результат (счет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Х.401.20.000), признаются:</w:t>
      </w:r>
    </w:p>
    <w:p w:rsidR="00F96565" w:rsidRPr="00D2178C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социальное обеспечение населения;</w:t>
      </w:r>
    </w:p>
    <w:p w:rsidR="00F96565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расходынатранспортныйналог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налог на имущество;</w:t>
      </w:r>
    </w:p>
    <w:p w:rsidR="00F96565" w:rsidRPr="00D2178C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штрафы и пени по налогам, штрафы, пени, неустойки за нарушение условий договоров;</w:t>
      </w:r>
    </w:p>
    <w:p w:rsidR="00F96565" w:rsidRPr="00D2178C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амортизация по недвижимому и особо ценному движимому имуществу, которое закреплено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 учреждением или приобретено за счет средств, выделенных учредителем;</w:t>
      </w:r>
    </w:p>
    <w:p w:rsidR="00F96565" w:rsidRDefault="00D2178C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7.5. Накладные расходы распределяются между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себестоимостью разных видов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услуг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в месяце распределения.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7.6. Общехозяйственные расходы учреждения, произведенные за отчетный период (месяц), распределяются: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в части распределяемых расходов – на себестоимость реализованных услуг (работ), пропорционально прямым затратам на единицу услуги, работы;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– в части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Х.401.20.000).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135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7.7. Себестоимость услуг (работ, 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в последний день месяца за минусом затрат, которые приходятся на незавершенное производство.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Доля затрат на незавершенное производство рассчитывается:</w:t>
      </w:r>
    </w:p>
    <w:p w:rsidR="00F96565" w:rsidRPr="00D2178C" w:rsidRDefault="00D2178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:rsidR="00F96565" w:rsidRPr="00D2178C" w:rsidRDefault="00D2178C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части продукции – пропорционально доле не готовых изделий в общем объеме изделий, изготавливаемых в течение месяца.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135 Инструкции к Единому плану счетов № 157н, пункты 20, 28, 33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 подотчетными лицами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выдаются под отчет на основании приказа руководителя учреждения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служебной записки, согласованной с руководителем.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Выдачаденежныхсредствпод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6565" w:rsidRPr="00D2178C" w:rsidRDefault="00D2178C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руководителя.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8.2. Учреждение выдает денежные средства под отчет штатным сотрудникам, а также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которые не состоят в штате, на основании отдельного приказа руководителя учреждения. Расчеты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выданным суммам проходят в порядке, установленном для штатных сотрудников.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Предельная сумма выдачи денежных средств под отчет на хозяйственные 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учреждения в исключительных случаях сумма может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быть увеличена, но не более лимита расчетов наличными средствами между юридическими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лицами в соответствии с указанием Центрального банка.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ЦБ от 09.12.2019 № 5348-У.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8.4. Денежные средства выдаются под отчет на хозяйственные нужды на срок, который сотрудник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указал в заявлении на выдачу денежных средств под отчет, но не более пяти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рабочих дней.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истечении этого срока сотрудник должен отчитаться в течение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трехрабочих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8.5. При направлении сотрудников учреждения в служебные командировки на территории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них возмещаются в размере, установленном Порядком оформления служебных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командировок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приложение 8). Возмещение расходов на служебные командировки, превышающих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размер, установленный указанным Порядком, производится по фактическим расходам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 от деятельности, приносящей доход, с разрешения руководителя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(оформленного приказом).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8.6. Предельные сроки отчета по выданным доверенностям на получение материальных ценностей устанавливаются следующие: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Авансовые отчеты брошюруются в хронологическом порядке в последний день отчетного месяца.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с дебиторами и кредиторами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9.1. Денежные средства от виновных лиц в возмещение ущерба, причиненного нефинансовым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активам, отражаются по коду вида деятельности «2» – приносящая доход деятельность (собственные доходы учреждения).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коду вида финансового обеспечения (деятельности), по которому активы учитывались.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9.2. Задолженность дебиторов в виде возмещения эксплуатационных и коммунальных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отражается в учете на основании выставленного арендатору счета, счетов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(подрядчиков), Бухгалтерской справки (ф. 0504833).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9.3.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 — приложение № 19.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 «Доходы».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9.4.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Порядок принятия решения о списании с балансового 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задолженности — приложение № 20.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Расчеты по обязательствам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10.1. К счету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Х.303.05.000 «Расчеты по прочим платежам в бюджет» применяются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аналитические коды:</w:t>
      </w:r>
    </w:p>
    <w:p w:rsidR="00F96565" w:rsidRDefault="00D2178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 Х.303.15.000);</w:t>
      </w:r>
    </w:p>
    <w:p w:rsidR="00F96565" w:rsidRDefault="00D2178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«Транспортный налог» (КБК Х.303.25.000);</w:t>
      </w:r>
    </w:p>
    <w:p w:rsidR="00F96565" w:rsidRPr="00D2178C" w:rsidRDefault="00D2178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Х.303.35.000);</w:t>
      </w:r>
    </w:p>
    <w:p w:rsidR="00F96565" w:rsidRDefault="00D2178C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10.2. Аналитический учет расчетов по пособиям и иным социальным выплатам ведется в разрезе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физических лиц – получателей социальных выплат.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Финансовый результат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равномерно (ежемесячно) на протяжении срока пользования объектом учета аренды.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11.2. Доходы от оказания платных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долгосрочным договорам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 11 СГС «Долгосрочные договоры».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11.3.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Pr="00D2178C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пункт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 СГС «Долгосрочные договоры».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11.4. Доходы текущего года начисляются: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услуг, работ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оплате пеней, штрафа, неустойки;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ведомости расхождений по результатам инвентаризации (ф. 0504092), на дату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ущерба на основании акта комиссии;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 имущества;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F96565" w:rsidRDefault="00D2178C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11.5. Учреждение осуществляет все расходы в пределах установленных норм и утвержденного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деятельности:</w:t>
      </w:r>
    </w:p>
    <w:p w:rsidR="00F96565" w:rsidRPr="00D2178C" w:rsidRDefault="00D2178C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междугородные переговоры, услуги по доступу в Интернет – по фактическому расходу;</w:t>
      </w:r>
    </w:p>
    <w:p w:rsidR="00F96565" w:rsidRPr="00D2178C" w:rsidRDefault="00D2178C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пользование услугами сотовой связи – по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лимиту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утвержденному распоряжением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11.6. В составе расходов будущих периодов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Х.401.50.000 «Расходы будущих периодов» отражаются расходы по:</w:t>
      </w:r>
    </w:p>
    <w:p w:rsidR="00F96565" w:rsidRDefault="00D2178C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страхованиюимущества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гражданскойответственности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равномерно по 1/12 за месяц в течение периода, к которому они относятся.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которому относятся расходы, равен сроку действия договора. По другим расходам,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относятся к будущим периодам, длительность периода устанавливается руководителя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приказе.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11.7.В учреждении создаются резервы по выплатам персоналу, по искам и претензионным требованиям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гарантийному ремонту, по убыточным договорным обязательствам, на демонтаж основных средств, на оплату обязательств, по которым нет документов, по сомнительным долгам, под снижение стоимости материальных запасов.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11.7.1. Резерв расходов по выплатам персоналу. Порядок расчета резерва приведен в приложении 15.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11.7.2. Резерв по искам, претензионным требованиям – в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учреждение является стороной судебного разбирательства. Величина резерва устанавливается в размере претензии, предъявленной учреждению в судебном иске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11.7.3. Резерв по гарантийному ремонту.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изделий. Величина резерва рассчитывается от суммы плановой выручки, умноженной на коэффициент предельного размера.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Коэффициент рассчитывается как соотношение расходов на гарантийный ремонт за предшествующие три года к объему выручки за предшествующие три года.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11.7.4. Резерв по убыточным договорным обязательствам создается, если изменились условия договора по независящим от учреждения причинам, вследствие чего появилась вероятность убыточности заключенного договора. Основание для создания резерва – финансово-экономическое обоснование от планового отдела, доказывающее, что затраты на исполнение договора превышают доход по нему. Сумма резерва равна разнице между предполагаемыми доходами и расходами, увеличенной на сумму санкций по договору. 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11.7.5. Резерв на демонтаж основных средств создается в случае, когда по договору (соглашению) или по законодательству учреждение обязано заплатить за разборку и утилизацию основного средства и восстановить участок, на котором был расположен объект. Величина резерва устанавливается на основании расчета планового отдела о предполагаемых затратах на утилизацию объекта и восстановление участка.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11.7.6. Резерв на оплату обязательств, по которым нет документов, создается в последний рабочий день отчетного квартала в случае, когда на этот день в бухгалтерию не поступили первичные документы от контрагентов. Сумма резерва устанавливается на основании расчета планового отдела. Расчет производится на основании данных о фактически оказанных услугах, выполненных работах или поставленных товарах.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11.7.7. Резерв по сомнительным долгам отражается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04 и равен сумме числящейся на нем дебиторской задолженности. На балансовых счетах резерв не отражается.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СГС «Резервы», пункт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«Выплаты персоналу».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11.8. Доходы от целевых субсидий по соглашению, заключенному на срок более года, учреждение отражает на счетах:</w:t>
      </w:r>
    </w:p>
    <w:p w:rsidR="00F96565" w:rsidRPr="00D2178C" w:rsidRDefault="00D2178C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F96565" w:rsidRPr="00D2178C" w:rsidRDefault="00D2178C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Санкционирование расходов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Принятие к учету обязательств (денежных обязательств) осуществляется в порядке, приведенном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приложении 15.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События после отчетной даты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Признание в учете и раскрытие в бухгалтерской отчетности событий после отчетной даты осуществляется в порядке, приведенном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16.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Представительские расходы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14.1.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6565" w:rsidRPr="00D2178C" w:rsidRDefault="00D2178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F96565" w:rsidRPr="00D2178C" w:rsidRDefault="00D2178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 время мероприятия, в том числе обеспечение питьевой водой, напитками;</w:t>
      </w:r>
    </w:p>
    <w:p w:rsidR="00F96565" w:rsidRDefault="00D2178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обеспечениеучастниковканцелярскимипринадлежностями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 месту мероприятия и обратно.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14.2. Документами, подтверждающими обоснованность представительских расходов, являются:</w:t>
      </w:r>
    </w:p>
    <w:p w:rsidR="00F96565" w:rsidRPr="00D2178C" w:rsidRDefault="00D2178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 проведении мероприятия и назначении ответственного за него;</w:t>
      </w:r>
    </w:p>
    <w:p w:rsidR="00F96565" w:rsidRPr="00D2178C" w:rsidRDefault="00D2178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 мероприятие;</w:t>
      </w:r>
    </w:p>
    <w:p w:rsidR="00F96565" w:rsidRPr="00D2178C" w:rsidRDefault="00D2178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отчет о представительских расходах, составленный сотрудником, ответственным за мероприятие;</w:t>
      </w:r>
    </w:p>
    <w:p w:rsidR="00F96565" w:rsidRPr="00D2178C" w:rsidRDefault="00D2178C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 произведенных расходах.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15. Денежные документы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15.1. В составе денежных документов учитываются:</w:t>
      </w:r>
    </w:p>
    <w:p w:rsidR="00F96565" w:rsidRDefault="00D2178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почтовыемарки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конверты с марками;</w:t>
      </w:r>
    </w:p>
    <w:p w:rsidR="00F96565" w:rsidRPr="00D2178C" w:rsidRDefault="00D2178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талоны на ГСМ и масла;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169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15.2. 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15.3. Выдача талонов фиксируется в Книге учета движения талонов. Форма книги утверждается учреждением самостоятельно.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VI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Инвентаризация имущества и обязательств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1. Инвентаризацию имущества и обязательств (в том числе числящихся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расходов будущих периодов и резервов) проводит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постоянно действующая инвентаризационная комиссия. Порядок и график проведения инвентаризации приведены в приложении 10.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 хищения,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комиссия, состав которой утверждается отельным приказом руководителя учреждения.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 основы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Состав комиссии для проведения внезапной ревизии кассы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Порядок организации и обеспечения внутреннего финансового контроля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постоянный текущий контроль в ходе своей деятельности осуществляют в рамках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полномочий:</w:t>
      </w:r>
    </w:p>
    <w:p w:rsidR="00F96565" w:rsidRDefault="00D2178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бухгалтер, сотрудники бухгалтерии;</w:t>
      </w:r>
    </w:p>
    <w:p w:rsidR="00F96565" w:rsidRPr="00D2178C" w:rsidRDefault="00D2178C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 проверок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приложении 14.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ведению бухучета, устанавливаются следующие сроки представления бухгалтерской отчетности: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до 10-го числа месяца, следующего за отчетным периодом;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годовой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до 17 января года, следующего за отчетным годом.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Обособленными структурными подразделениями отчетность представляется главному бухгалтеру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 от всех видов деятельности и их оттоками.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«Отчет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Бухгалтерская отчетность формируется и хранится в виде электронного документа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системе «</w:t>
      </w:r>
      <w:r w:rsidR="000634BA">
        <w:rPr>
          <w:rFonts w:hAnsi="Times New Roman" w:cs="Times New Roman"/>
          <w:color w:val="000000"/>
          <w:sz w:val="24"/>
          <w:szCs w:val="24"/>
          <w:lang w:val="ru-RU"/>
        </w:rPr>
        <w:t>Свод-Смарт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». Бумажная копия комплекта отчетности хранится у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IX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Порядок передачи документов бухгалтерского учета при смене руководителя и главного бухгалтера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 лица)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 или Министерства социального развития области, осуществляющего функции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 полномочия учредителя (далее – учредитель).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 комиссии, создаваемой в учреждении, с составлением акта приема-передачи.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приема-передачи. К акту прилагается перечень передаваемых документов, с указанием их количества и типа.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 нарушения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организации работы бухгалтерии.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 приема-передачи подписывается уполномоченным лицом, принимающим дела, и членами комиссии.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возникли при приеме-передаче дел.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(или) учредителя в соответствии с приказом на передачу бухгалтерских документов.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задание, план-график закупок, обоснования к планам;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 документы и т. д.;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 праве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собственности, выписки из ЕГРП, паспорта транспортных средств и т. п.;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 ценностях;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исчерпывающей характеристикой по каждой сумме;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материалы о недостачах и хищениях, переданных и не переданных в правоохранительные органы;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F96565" w:rsidRPr="00D2178C" w:rsidRDefault="00D2178C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(или) уполномоченное лицо излагают их в письменной форме в присутствии комиссии.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 самом акте.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 учредителю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Default="00F9656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5"/>
        <w:gridCol w:w="156"/>
        <w:gridCol w:w="1539"/>
      </w:tblGrid>
      <w:tr w:rsidR="00F96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Pr="000634BA" w:rsidRDefault="000634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Л.В.Ковалева</w:t>
            </w:r>
          </w:p>
        </w:tc>
      </w:tr>
      <w:tr w:rsidR="00F96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Default="00F96565">
      <w:pPr>
        <w:rPr>
          <w:rFonts w:hAnsi="Times New Roman" w:cs="Times New Roman"/>
          <w:color w:val="000000"/>
          <w:sz w:val="24"/>
          <w:szCs w:val="24"/>
        </w:rPr>
      </w:pPr>
    </w:p>
    <w:p w:rsidR="00F96565" w:rsidRDefault="00F96565">
      <w:pPr>
        <w:rPr>
          <w:rFonts w:hAnsi="Times New Roman" w:cs="Times New Roman"/>
          <w:color w:val="000000"/>
          <w:sz w:val="24"/>
          <w:szCs w:val="24"/>
        </w:rPr>
      </w:pPr>
    </w:p>
    <w:sectPr w:rsidR="00F96565" w:rsidSect="005A69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87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83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10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50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41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94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505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57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27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80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D3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B42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F5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72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32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C3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17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93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301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84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91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D1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C3E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75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B27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D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3E0D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B34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C0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325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910B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FA4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696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9B6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5">
    <w:nsid w:val="4B390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AE0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292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DC42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C21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AC1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785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5F6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835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A47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C7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54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6C5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9849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A66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E24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0779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8"/>
  </w:num>
  <w:num w:numId="3">
    <w:abstractNumId w:val="5"/>
  </w:num>
  <w:num w:numId="4">
    <w:abstractNumId w:val="9"/>
  </w:num>
  <w:num w:numId="5">
    <w:abstractNumId w:val="0"/>
  </w:num>
  <w:num w:numId="6">
    <w:abstractNumId w:val="24"/>
  </w:num>
  <w:num w:numId="7">
    <w:abstractNumId w:val="2"/>
  </w:num>
  <w:num w:numId="8">
    <w:abstractNumId w:val="47"/>
  </w:num>
  <w:num w:numId="9">
    <w:abstractNumId w:val="49"/>
  </w:num>
  <w:num w:numId="10">
    <w:abstractNumId w:val="42"/>
  </w:num>
  <w:num w:numId="11">
    <w:abstractNumId w:val="17"/>
  </w:num>
  <w:num w:numId="12">
    <w:abstractNumId w:val="23"/>
  </w:num>
  <w:num w:numId="13">
    <w:abstractNumId w:val="22"/>
  </w:num>
  <w:num w:numId="14">
    <w:abstractNumId w:val="26"/>
  </w:num>
  <w:num w:numId="15">
    <w:abstractNumId w:val="21"/>
  </w:num>
  <w:num w:numId="16">
    <w:abstractNumId w:val="38"/>
  </w:num>
  <w:num w:numId="17">
    <w:abstractNumId w:val="33"/>
  </w:num>
  <w:num w:numId="18">
    <w:abstractNumId w:val="6"/>
  </w:num>
  <w:num w:numId="19">
    <w:abstractNumId w:val="3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45"/>
  </w:num>
  <w:num w:numId="25">
    <w:abstractNumId w:val="31"/>
  </w:num>
  <w:num w:numId="26">
    <w:abstractNumId w:val="39"/>
  </w:num>
  <w:num w:numId="27">
    <w:abstractNumId w:val="36"/>
  </w:num>
  <w:num w:numId="28">
    <w:abstractNumId w:val="37"/>
  </w:num>
  <w:num w:numId="29">
    <w:abstractNumId w:val="19"/>
  </w:num>
  <w:num w:numId="30">
    <w:abstractNumId w:val="4"/>
  </w:num>
  <w:num w:numId="31">
    <w:abstractNumId w:val="51"/>
  </w:num>
  <w:num w:numId="32">
    <w:abstractNumId w:val="32"/>
  </w:num>
  <w:num w:numId="33">
    <w:abstractNumId w:val="40"/>
  </w:num>
  <w:num w:numId="34">
    <w:abstractNumId w:val="41"/>
  </w:num>
  <w:num w:numId="35">
    <w:abstractNumId w:val="7"/>
  </w:num>
  <w:num w:numId="36">
    <w:abstractNumId w:val="27"/>
  </w:num>
  <w:num w:numId="37">
    <w:abstractNumId w:val="18"/>
  </w:num>
  <w:num w:numId="38">
    <w:abstractNumId w:val="46"/>
  </w:num>
  <w:num w:numId="39">
    <w:abstractNumId w:val="29"/>
  </w:num>
  <w:num w:numId="40">
    <w:abstractNumId w:val="43"/>
  </w:num>
  <w:num w:numId="41">
    <w:abstractNumId w:val="30"/>
  </w:num>
  <w:num w:numId="42">
    <w:abstractNumId w:val="34"/>
  </w:num>
  <w:num w:numId="43">
    <w:abstractNumId w:val="11"/>
  </w:num>
  <w:num w:numId="44">
    <w:abstractNumId w:val="48"/>
  </w:num>
  <w:num w:numId="45">
    <w:abstractNumId w:val="16"/>
  </w:num>
  <w:num w:numId="46">
    <w:abstractNumId w:val="25"/>
  </w:num>
  <w:num w:numId="47">
    <w:abstractNumId w:val="20"/>
  </w:num>
  <w:num w:numId="48">
    <w:abstractNumId w:val="13"/>
  </w:num>
  <w:num w:numId="49">
    <w:abstractNumId w:val="50"/>
  </w:num>
  <w:num w:numId="50">
    <w:abstractNumId w:val="35"/>
  </w:num>
  <w:num w:numId="51">
    <w:abstractNumId w:val="1"/>
  </w:num>
  <w:num w:numId="52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34BA"/>
    <w:rsid w:val="002D33B1"/>
    <w:rsid w:val="002D3591"/>
    <w:rsid w:val="003514A0"/>
    <w:rsid w:val="00430C1B"/>
    <w:rsid w:val="0046024A"/>
    <w:rsid w:val="004F7E17"/>
    <w:rsid w:val="005A05CE"/>
    <w:rsid w:val="005A6941"/>
    <w:rsid w:val="00653AF6"/>
    <w:rsid w:val="00785175"/>
    <w:rsid w:val="00B73A5A"/>
    <w:rsid w:val="00CF1C19"/>
    <w:rsid w:val="00D2178C"/>
    <w:rsid w:val="00E438A1"/>
    <w:rsid w:val="00E82514"/>
    <w:rsid w:val="00F01E19"/>
    <w:rsid w:val="00F23819"/>
    <w:rsid w:val="00F96565"/>
    <w:rsid w:val="00FC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2F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11499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Дом интернат</cp:lastModifiedBy>
  <cp:revision>8</cp:revision>
  <cp:lastPrinted>2023-01-12T07:12:00Z</cp:lastPrinted>
  <dcterms:created xsi:type="dcterms:W3CDTF">2023-01-09T12:11:00Z</dcterms:created>
  <dcterms:modified xsi:type="dcterms:W3CDTF">2023-01-16T07:09:00Z</dcterms:modified>
</cp:coreProperties>
</file>